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153727">
        <w:rPr>
          <w:rFonts w:ascii="Times New Roman" w:hAnsi="Times New Roman"/>
          <w:szCs w:val="24"/>
          <w:lang w:val="en-US"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153727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val="en-US"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53727">
        <w:rPr>
          <w:rFonts w:ascii="Times New Roman" w:hAnsi="Times New Roman"/>
          <w:szCs w:val="24"/>
          <w:lang w:val="en-US"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153727">
        <w:rPr>
          <w:rFonts w:ascii="Times New Roman" w:hAnsi="Times New Roman"/>
          <w:szCs w:val="24"/>
          <w:lang w:val="en-US"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153727">
        <w:rPr>
          <w:rFonts w:ascii="Times New Roman" w:hAnsi="Times New Roman"/>
          <w:szCs w:val="24"/>
          <w:lang w:val="en-US" w:eastAsia="ru-RU"/>
        </w:rPr>
        <w:t>1394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0D5E96" w:rsidRPr="00FA7B14" w:rsidTr="00153727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153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153727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727">
              <w:rPr>
                <w:rFonts w:ascii="Times New Roman" w:hAnsi="Times New Roman"/>
                <w:b/>
                <w:sz w:val="20"/>
                <w:szCs w:val="20"/>
              </w:rPr>
              <w:t>Новосибирская область</w:t>
            </w:r>
          </w:p>
        </w:tc>
      </w:tr>
      <w:tr w:rsidR="00153727" w:rsidRPr="00153727" w:rsidTr="00153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53727" w:rsidRPr="00153727" w:rsidRDefault="00153727" w:rsidP="0015372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54-00001-З-00479-010814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53727" w:rsidRPr="00153727" w:rsidRDefault="00153727" w:rsidP="0015372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промышленных отходов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53727" w:rsidRPr="00153727" w:rsidRDefault="00153727" w:rsidP="0015372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53727" w:rsidRPr="00153727" w:rsidRDefault="00153727" w:rsidP="0015372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Бой железобетонных изделий 34620002205, </w:t>
            </w:r>
            <w:proofErr w:type="spellStart"/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61140002205, </w:t>
            </w:r>
            <w:proofErr w:type="gramStart"/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Ионообменные смолы</w:t>
            </w:r>
            <w:proofErr w:type="gramEnd"/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отработанные при водоподготовке 71021101205, Отходы бетона при зачистке оборудования производства товарного бетона 34611812215, Лом шамотного кирпича незагрязненный 91218101215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53727" w:rsidRPr="00153727" w:rsidRDefault="00153727" w:rsidP="0015372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Имеется 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53727" w:rsidRPr="00153727" w:rsidRDefault="00153727" w:rsidP="0015372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50252553000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53727" w:rsidRPr="00153727" w:rsidRDefault="00153727" w:rsidP="0015372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Горный 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53727" w:rsidRDefault="00153727" w:rsidP="0015372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Горновский</w:t>
            </w:r>
            <w:proofErr w:type="spellEnd"/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 </w:t>
            </w:r>
            <w:proofErr w:type="spellStart"/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спецжелезобетона</w:t>
            </w:r>
            <w:proofErr w:type="spellEnd"/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 Акционерного общества «</w:t>
            </w:r>
            <w:proofErr w:type="spellStart"/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БетЭлТранс</w:t>
            </w:r>
            <w:proofErr w:type="spellEnd"/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153727" w:rsidRPr="00153727" w:rsidRDefault="00153727" w:rsidP="0015372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633411, Новосибирская </w:t>
            </w:r>
            <w:proofErr w:type="spellStart"/>
            <w:proofErr w:type="gramStart"/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область,Тогучинский</w:t>
            </w:r>
            <w:proofErr w:type="spellEnd"/>
            <w:proofErr w:type="gramEnd"/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Горный, ул. Транспортная, д. 15</w:t>
            </w:r>
          </w:p>
        </w:tc>
      </w:tr>
    </w:tbl>
    <w:p w:rsidR="00153727" w:rsidRPr="00FA7B14" w:rsidRDefault="00153727" w:rsidP="00153727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val="en-US" w:eastAsia="ru-RU"/>
        </w:rPr>
        <w:t>2</w:t>
      </w:r>
    </w:p>
    <w:p w:rsidR="00153727" w:rsidRPr="00FA7B14" w:rsidRDefault="00153727" w:rsidP="0015372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153727" w:rsidRPr="00153727" w:rsidRDefault="00153727" w:rsidP="0015372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Pr="00153727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Pr="00153727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Pr="00153727">
        <w:rPr>
          <w:rFonts w:ascii="Times New Roman" w:hAnsi="Times New Roman"/>
          <w:szCs w:val="24"/>
          <w:lang w:eastAsia="ru-RU"/>
        </w:rPr>
        <w:t>1394</w:t>
      </w:r>
    </w:p>
    <w:p w:rsidR="00153727" w:rsidRPr="00FA7B14" w:rsidRDefault="00153727" w:rsidP="0015372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4"/>
        <w:gridCol w:w="1133"/>
        <w:gridCol w:w="9"/>
        <w:gridCol w:w="4890"/>
        <w:gridCol w:w="1230"/>
        <w:gridCol w:w="1274"/>
        <w:gridCol w:w="1403"/>
        <w:gridCol w:w="9"/>
        <w:gridCol w:w="2944"/>
      </w:tblGrid>
      <w:tr w:rsidR="00153727" w:rsidRPr="00FA7B14" w:rsidTr="00153727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727" w:rsidRPr="00FA7B14" w:rsidRDefault="00153727" w:rsidP="002B45F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727" w:rsidRPr="00FA7B14" w:rsidRDefault="00153727" w:rsidP="002B45F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727" w:rsidRPr="00FA7B14" w:rsidRDefault="00153727" w:rsidP="002B45F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3727" w:rsidRPr="00FA7B14" w:rsidRDefault="00153727" w:rsidP="002B45F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727" w:rsidRPr="00FA7B14" w:rsidRDefault="00153727" w:rsidP="002B45F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727" w:rsidRPr="00FA7B14" w:rsidRDefault="00153727" w:rsidP="002B45F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727" w:rsidRPr="00FA7B14" w:rsidRDefault="00153727" w:rsidP="002B45F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727" w:rsidRPr="00FA7B14" w:rsidRDefault="00153727" w:rsidP="002B45F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153727" w:rsidRPr="00FA7B14" w:rsidTr="00153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3727" w:rsidRPr="00FA7B14" w:rsidRDefault="00153727" w:rsidP="002B45FD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727">
              <w:rPr>
                <w:rFonts w:ascii="Times New Roman" w:hAnsi="Times New Roman"/>
                <w:b/>
                <w:sz w:val="20"/>
                <w:szCs w:val="20"/>
              </w:rPr>
              <w:t>Ямало-Ненецкий автономный округ</w:t>
            </w:r>
          </w:p>
        </w:tc>
      </w:tr>
      <w:tr w:rsidR="00153727" w:rsidRPr="00153727" w:rsidTr="00912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53727" w:rsidRPr="00153727" w:rsidRDefault="00153727" w:rsidP="0015372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89-00090-З-00592-250914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153727" w:rsidRPr="00153727" w:rsidRDefault="00153727" w:rsidP="0015372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 КС «</w:t>
            </w:r>
            <w:proofErr w:type="spellStart"/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Байдарацкая</w:t>
            </w:r>
            <w:proofErr w:type="spellEnd"/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4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153727" w:rsidRPr="00153727" w:rsidRDefault="00153727" w:rsidP="0015372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8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153727" w:rsidRPr="00153727" w:rsidRDefault="00912258" w:rsidP="0015372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30529111205 опилки и стружка натуральной чистой древесины несортированные; 43111001515 трубы, трубки из вулканизированной резины, утратившие потребительские свойства, незагрязненные; 43111002515 шланги и рукава из вулканизированной резины, утратившие потребительские свойства, незагрязненные; 45610001515 абразивные круги отработанные, лом отработанных абразивных кругов; 73310001724 мусор от офисных и бытовых помещений организаций несортированный (исключая крупногабаритный); 73339002715 смет с территории предприятия практически неопасный; 73510001725 отходы (мусор) от уборки территории и помещений объектов оптово-розничной торговли продовольственными товарами; 73510002725 отходы (мусор) от уборки территории и помещений объектов оптово-розничной торговли промышленными товарами; 73610001305 пищевые отходы кухонь и организаций общественного питания несортированные; 73710002725 отходы (мусор) от уборки территории и помещений культурно-спортивных учреждений и зрелищных мероприятий; 89000001724 отходы (мусор) от строительных и ремонтных работ; 92031001525 тормозные колодки отработанные без накладок асбестовых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153727" w:rsidRPr="00153727" w:rsidRDefault="00153727" w:rsidP="0015372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153727" w:rsidRPr="00153727" w:rsidRDefault="00153727" w:rsidP="0015372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71168000000</w:t>
            </w:r>
          </w:p>
        </w:tc>
        <w:tc>
          <w:tcPr>
            <w:tcW w:w="450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153727" w:rsidRPr="00153727" w:rsidRDefault="00153727" w:rsidP="0015372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Маре Сале</w:t>
            </w:r>
          </w:p>
        </w:tc>
        <w:tc>
          <w:tcPr>
            <w:tcW w:w="93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53727" w:rsidRDefault="00153727" w:rsidP="0015372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«Газпром </w:t>
            </w:r>
            <w:proofErr w:type="spellStart"/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трансгаз</w:t>
            </w:r>
            <w:proofErr w:type="spellEnd"/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Ухта»</w:t>
            </w:r>
          </w:p>
          <w:p w:rsidR="00153727" w:rsidRPr="00153727" w:rsidRDefault="00153727" w:rsidP="0015372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169300, Республика Коми, г. Ухта, набережная Газовиков, д.10/1</w:t>
            </w:r>
          </w:p>
        </w:tc>
      </w:tr>
    </w:tbl>
    <w:p w:rsidR="00912258" w:rsidRPr="00FA7B14" w:rsidRDefault="00912258" w:rsidP="00912258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912258" w:rsidRPr="00FA7B14" w:rsidRDefault="00912258" w:rsidP="0091225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912258" w:rsidRPr="00153727" w:rsidRDefault="00912258" w:rsidP="00912258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Pr="00153727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Pr="00153727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Pr="00153727">
        <w:rPr>
          <w:rFonts w:ascii="Times New Roman" w:hAnsi="Times New Roman"/>
          <w:szCs w:val="24"/>
          <w:lang w:eastAsia="ru-RU"/>
        </w:rPr>
        <w:t>1394</w:t>
      </w:r>
    </w:p>
    <w:p w:rsidR="00912258" w:rsidRPr="00FA7B14" w:rsidRDefault="00912258" w:rsidP="00912258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18"/>
        <w:gridCol w:w="6"/>
        <w:gridCol w:w="1133"/>
        <w:gridCol w:w="9"/>
        <w:gridCol w:w="4890"/>
        <w:gridCol w:w="1230"/>
        <w:gridCol w:w="1274"/>
        <w:gridCol w:w="1403"/>
        <w:gridCol w:w="9"/>
        <w:gridCol w:w="2944"/>
      </w:tblGrid>
      <w:tr w:rsidR="00912258" w:rsidRPr="00FA7B14" w:rsidTr="00BE01B1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2258" w:rsidRPr="00FA7B14" w:rsidRDefault="00912258" w:rsidP="002B45F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2258" w:rsidRPr="00FA7B14" w:rsidRDefault="00912258" w:rsidP="002B45F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2258" w:rsidRPr="00FA7B14" w:rsidRDefault="00912258" w:rsidP="002B45F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258" w:rsidRPr="00FA7B14" w:rsidRDefault="00912258" w:rsidP="002B45F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2258" w:rsidRPr="00FA7B14" w:rsidRDefault="00912258" w:rsidP="002B45F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2258" w:rsidRPr="00FA7B14" w:rsidRDefault="00912258" w:rsidP="002B45F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2258" w:rsidRPr="00FA7B14" w:rsidRDefault="00912258" w:rsidP="002B45F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2258" w:rsidRPr="00FA7B14" w:rsidRDefault="00912258" w:rsidP="002B45F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912258" w:rsidRPr="00FA7B14" w:rsidTr="00BE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258" w:rsidRPr="00FA7B14" w:rsidRDefault="00BE01B1" w:rsidP="002B45FD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1B1">
              <w:rPr>
                <w:rFonts w:ascii="Times New Roman" w:hAnsi="Times New Roman"/>
                <w:b/>
                <w:sz w:val="20"/>
                <w:szCs w:val="20"/>
              </w:rPr>
              <w:t>Ростовская область</w:t>
            </w:r>
          </w:p>
        </w:tc>
      </w:tr>
      <w:tr w:rsidR="00BE01B1" w:rsidRPr="00BE01B1" w:rsidTr="00BE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BE01B1" w:rsidRPr="00BE01B1" w:rsidRDefault="00BE01B1" w:rsidP="00BE01B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61-00007-Х-00870-311214</w:t>
            </w:r>
          </w:p>
        </w:tc>
        <w:tc>
          <w:tcPr>
            <w:tcW w:w="579" w:type="pct"/>
            <w:shd w:val="clear" w:color="auto" w:fill="auto"/>
            <w:hideMark/>
          </w:tcPr>
          <w:p w:rsidR="00BE01B1" w:rsidRPr="00BE01B1" w:rsidRDefault="00BE01B1" w:rsidP="00BE01B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0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BE0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твердых отходов</w:t>
            </w:r>
          </w:p>
        </w:tc>
        <w:tc>
          <w:tcPr>
            <w:tcW w:w="366" w:type="pct"/>
            <w:gridSpan w:val="3"/>
            <w:shd w:val="clear" w:color="auto" w:fill="auto"/>
            <w:hideMark/>
          </w:tcPr>
          <w:p w:rsidR="00BE01B1" w:rsidRPr="00BE01B1" w:rsidRDefault="00BE01B1" w:rsidP="00BE01B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8" w:type="pct"/>
            <w:shd w:val="clear" w:color="auto" w:fill="auto"/>
            <w:hideMark/>
          </w:tcPr>
          <w:p w:rsidR="00BE01B1" w:rsidRPr="00BE01B1" w:rsidRDefault="00BE01B1" w:rsidP="00BE01B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твердые остатки от сжигания нефтесодержащих отходов 74721101404; песок, загрязненный нефтью или нефтепродуктами (содержание нефти или нефтепродуктов 15% и более) 91920101393; шлам очистки емкостей и трубопроводов от нефти и нефтепродуктов 91120002393; силикагель отработанный, загрязненный нефтью и нефтепродуктами (содержание нефтепродуктов менее 15%) 44250312294; фильтрующая загрузка </w:t>
            </w:r>
            <w:proofErr w:type="spellStart"/>
            <w:r w:rsidRPr="00BE0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антрацитокварцевая</w:t>
            </w:r>
            <w:proofErr w:type="spellEnd"/>
            <w:r w:rsidRPr="00BE0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загрязненная нефтепродуктами (содержание нефтепродуктов менее 15%) 44374112494; уголь активированный отработанный, загрязненный нефтепродуктами (содержание нефтепродуктов менее 15%) 44250402204; антрацит отработанный при водоподготовке 71021231494; осадок механической очистки нефтесодержащих сточных вод, содержащий нефтепродукты в количестве менее 15% 72310202394; отходы известняка, доломита и мела в кусковой форме практически неопасные 23111201215; ионообменные смолы отработанные при водоподготовке 71021101205</w:t>
            </w:r>
          </w:p>
        </w:tc>
        <w:tc>
          <w:tcPr>
            <w:tcW w:w="392" w:type="pct"/>
            <w:shd w:val="clear" w:color="auto" w:fill="auto"/>
            <w:hideMark/>
          </w:tcPr>
          <w:p w:rsidR="00BE01B1" w:rsidRPr="00BE01B1" w:rsidRDefault="00BE01B1" w:rsidP="00BE01B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6" w:type="pct"/>
            <w:shd w:val="clear" w:color="auto" w:fill="auto"/>
            <w:hideMark/>
          </w:tcPr>
          <w:p w:rsidR="00BE01B1" w:rsidRPr="00BE01B1" w:rsidRDefault="00BE01B1" w:rsidP="00BE01B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60712000001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BE01B1" w:rsidRPr="00BE01B1" w:rsidRDefault="00BE01B1" w:rsidP="00BE01B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Подгоренский Дубовского района</w:t>
            </w:r>
          </w:p>
        </w:tc>
        <w:tc>
          <w:tcPr>
            <w:tcW w:w="939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BE01B1" w:rsidRDefault="00BE01B1" w:rsidP="00BE01B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"Концерн Росэнергоатом" Филиал</w:t>
            </w:r>
            <w:r w:rsidR="008B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0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"Концерн Росэнергоатом" "Ростовская атомная станция"</w:t>
            </w:r>
          </w:p>
          <w:p w:rsidR="00BE01B1" w:rsidRPr="00BE01B1" w:rsidRDefault="00BE01B1" w:rsidP="00BE01B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347388, Ростовская область, Волгодонск-28</w:t>
            </w:r>
          </w:p>
        </w:tc>
      </w:tr>
      <w:tr w:rsidR="00BE01B1" w:rsidRPr="00BE01B1" w:rsidTr="00BE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E01B1" w:rsidRPr="00BE01B1" w:rsidRDefault="00BE01B1" w:rsidP="00BE01B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61-00008-Х-00870-311214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BE01B1" w:rsidRPr="00BE01B1" w:rsidRDefault="00BE01B1" w:rsidP="00BE01B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0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BE0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жидких отходов</w:t>
            </w:r>
          </w:p>
        </w:tc>
        <w:tc>
          <w:tcPr>
            <w:tcW w:w="366" w:type="pct"/>
            <w:gridSpan w:val="3"/>
            <w:tcBorders>
              <w:bottom w:val="single" w:sz="12" w:space="0" w:color="auto"/>
            </w:tcBorders>
            <w:shd w:val="clear" w:color="auto" w:fill="auto"/>
            <w:hideMark/>
          </w:tcPr>
          <w:p w:rsidR="00BE01B1" w:rsidRPr="00BE01B1" w:rsidRDefault="00BE01B1" w:rsidP="00BE01B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8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BE01B1" w:rsidRPr="00BE01B1" w:rsidRDefault="00BE01B1" w:rsidP="008B68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зачистки накопительных емкостей обессоленной воды для питания паровых котлов 61228111394</w:t>
            </w:r>
            <w:bookmarkStart w:id="0" w:name="_GoBack"/>
            <w:bookmarkEnd w:id="0"/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BE01B1" w:rsidRPr="00BE01B1" w:rsidRDefault="00BE01B1" w:rsidP="00BE01B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BE01B1" w:rsidRPr="00BE01B1" w:rsidRDefault="00BE01B1" w:rsidP="00BE01B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60712000001</w:t>
            </w:r>
          </w:p>
        </w:tc>
        <w:tc>
          <w:tcPr>
            <w:tcW w:w="450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BE01B1" w:rsidRPr="00BE01B1" w:rsidRDefault="00BE01B1" w:rsidP="00BE01B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Подгоренский Дубовского района</w:t>
            </w:r>
          </w:p>
        </w:tc>
        <w:tc>
          <w:tcPr>
            <w:tcW w:w="93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E01B1" w:rsidRDefault="00BE01B1" w:rsidP="00BE01B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"Концерн Росэнергоатом" Филиал</w:t>
            </w:r>
            <w:r w:rsidR="008B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0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"Концерн Росэнергоатом" "Ростовская атомная станция"</w:t>
            </w:r>
          </w:p>
          <w:p w:rsidR="00BE01B1" w:rsidRPr="00BE01B1" w:rsidRDefault="00BE01B1" w:rsidP="00BE01B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347388, Ростовская область, Волгодонск-28</w:t>
            </w:r>
          </w:p>
        </w:tc>
      </w:tr>
    </w:tbl>
    <w:p w:rsidR="00912258" w:rsidRPr="00BE01B1" w:rsidRDefault="00912258">
      <w:pPr>
        <w:rPr>
          <w:rFonts w:ascii="Times New Roman" w:hAnsi="Times New Roman" w:cs="Times New Roman"/>
          <w:sz w:val="20"/>
          <w:szCs w:val="20"/>
        </w:rPr>
      </w:pPr>
    </w:p>
    <w:sectPr w:rsidR="00912258" w:rsidRPr="00BE01B1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DC2" w:rsidRDefault="00F96DC2" w:rsidP="000D5E96">
      <w:pPr>
        <w:spacing w:before="0" w:line="240" w:lineRule="auto"/>
      </w:pPr>
      <w:r>
        <w:separator/>
      </w:r>
    </w:p>
  </w:endnote>
  <w:endnote w:type="continuationSeparator" w:id="0">
    <w:p w:rsidR="00F96DC2" w:rsidRDefault="00F96DC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8B6811">
          <w:rPr>
            <w:noProof/>
            <w:sz w:val="20"/>
            <w:szCs w:val="20"/>
          </w:rPr>
          <w:t>3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DC2" w:rsidRDefault="00F96DC2" w:rsidP="000D5E96">
      <w:pPr>
        <w:spacing w:before="0" w:line="240" w:lineRule="auto"/>
      </w:pPr>
      <w:r>
        <w:separator/>
      </w:r>
    </w:p>
  </w:footnote>
  <w:footnote w:type="continuationSeparator" w:id="0">
    <w:p w:rsidR="00F96DC2" w:rsidRDefault="00F96DC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53727"/>
    <w:rsid w:val="001B50EF"/>
    <w:rsid w:val="002F2623"/>
    <w:rsid w:val="003012D7"/>
    <w:rsid w:val="0031586E"/>
    <w:rsid w:val="00352C9C"/>
    <w:rsid w:val="00523539"/>
    <w:rsid w:val="005903CF"/>
    <w:rsid w:val="005F060B"/>
    <w:rsid w:val="00634E6A"/>
    <w:rsid w:val="00641F6F"/>
    <w:rsid w:val="00656DF8"/>
    <w:rsid w:val="008372DE"/>
    <w:rsid w:val="008B6811"/>
    <w:rsid w:val="00912258"/>
    <w:rsid w:val="009B3053"/>
    <w:rsid w:val="00B81BCE"/>
    <w:rsid w:val="00BD4E84"/>
    <w:rsid w:val="00BD4EAD"/>
    <w:rsid w:val="00BE01B1"/>
    <w:rsid w:val="00C52D90"/>
    <w:rsid w:val="00D3103C"/>
    <w:rsid w:val="00D43526"/>
    <w:rsid w:val="00E1077A"/>
    <w:rsid w:val="00E66359"/>
    <w:rsid w:val="00F32B64"/>
    <w:rsid w:val="00F455EA"/>
    <w:rsid w:val="00F96DC2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2019-08-02T10:53:00Z</dcterms:created>
  <dcterms:modified xsi:type="dcterms:W3CDTF">2020-11-18T12:50:00Z</dcterms:modified>
</cp:coreProperties>
</file>