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87" w:rsidRPr="00565D87" w:rsidRDefault="00565D87" w:rsidP="00565D87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Приложение 1</w:t>
      </w:r>
    </w:p>
    <w:p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proofErr w:type="gramStart"/>
      <w:r w:rsidRPr="00565D87">
        <w:rPr>
          <w:rFonts w:ascii="Times New Roman" w:hAnsi="Times New Roman"/>
          <w:szCs w:val="24"/>
          <w:lang w:eastAsia="ru-RU"/>
        </w:rPr>
        <w:t>к</w:t>
      </w:r>
      <w:proofErr w:type="gramEnd"/>
      <w:r w:rsidRPr="00565D87">
        <w:rPr>
          <w:rFonts w:ascii="Times New Roman" w:hAnsi="Times New Roman"/>
          <w:szCs w:val="24"/>
          <w:lang w:eastAsia="ru-RU"/>
        </w:rPr>
        <w:t xml:space="preserve"> приказу Федеральной службы по надзору в сфере природопользования</w:t>
      </w:r>
    </w:p>
    <w:p w:rsidR="00565D87" w:rsidRPr="00BA2F5D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proofErr w:type="gramStart"/>
      <w:r w:rsidRPr="00565D87">
        <w:rPr>
          <w:rFonts w:ascii="Times New Roman" w:hAnsi="Times New Roman"/>
          <w:szCs w:val="24"/>
          <w:lang w:eastAsia="ru-RU"/>
        </w:rPr>
        <w:t>от</w:t>
      </w:r>
      <w:proofErr w:type="gramEnd"/>
      <w:r w:rsidRPr="00565D87">
        <w:rPr>
          <w:rFonts w:ascii="Times New Roman" w:hAnsi="Times New Roman"/>
          <w:szCs w:val="24"/>
          <w:lang w:eastAsia="ru-RU"/>
        </w:rPr>
        <w:t xml:space="preserve"> </w:t>
      </w:r>
      <w:r w:rsidR="009D47F1" w:rsidRPr="00BA2F5D">
        <w:rPr>
          <w:rFonts w:ascii="Times New Roman" w:hAnsi="Times New Roman"/>
          <w:szCs w:val="24"/>
          <w:lang w:eastAsia="ru-RU"/>
        </w:rPr>
        <w:t>09</w:t>
      </w:r>
      <w:r w:rsidRPr="00565D87">
        <w:rPr>
          <w:rFonts w:ascii="Times New Roman" w:hAnsi="Times New Roman"/>
          <w:szCs w:val="24"/>
          <w:lang w:eastAsia="ru-RU"/>
        </w:rPr>
        <w:t>.</w:t>
      </w:r>
      <w:r w:rsidR="009D47F1" w:rsidRPr="00BA2F5D">
        <w:rPr>
          <w:rFonts w:ascii="Times New Roman" w:hAnsi="Times New Roman"/>
          <w:szCs w:val="24"/>
          <w:lang w:eastAsia="ru-RU"/>
        </w:rPr>
        <w:t>11</w:t>
      </w:r>
      <w:r w:rsidRPr="00565D87">
        <w:rPr>
          <w:rFonts w:ascii="Times New Roman" w:hAnsi="Times New Roman"/>
          <w:szCs w:val="24"/>
          <w:lang w:eastAsia="ru-RU"/>
        </w:rPr>
        <w:t xml:space="preserve">.2021 № </w:t>
      </w:r>
      <w:r w:rsidR="009D47F1" w:rsidRPr="00BA2F5D">
        <w:rPr>
          <w:rFonts w:ascii="Times New Roman" w:hAnsi="Times New Roman"/>
          <w:szCs w:val="24"/>
          <w:lang w:eastAsia="ru-RU"/>
        </w:rPr>
        <w:t>788</w:t>
      </w:r>
    </w:p>
    <w:p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"/>
        <w:gridCol w:w="1276"/>
        <w:gridCol w:w="1134"/>
        <w:gridCol w:w="3118"/>
        <w:gridCol w:w="1134"/>
        <w:gridCol w:w="1276"/>
        <w:gridCol w:w="851"/>
        <w:gridCol w:w="1134"/>
        <w:gridCol w:w="1559"/>
        <w:gridCol w:w="1276"/>
        <w:gridCol w:w="1276"/>
        <w:gridCol w:w="1228"/>
      </w:tblGrid>
      <w:tr w:rsidR="00401307" w:rsidRPr="00565D87" w:rsidTr="00486B9B">
        <w:trPr>
          <w:trHeight w:val="20"/>
        </w:trPr>
        <w:tc>
          <w:tcPr>
            <w:tcW w:w="3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71F2" w:rsidRPr="00565D87" w:rsidRDefault="009E71F2" w:rsidP="00565D87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</w:tcPr>
          <w:p w:rsidR="009E71F2" w:rsidRPr="00565D87" w:rsidRDefault="00364F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4FF2">
              <w:rPr>
                <w:rFonts w:ascii="Times New Roman" w:hAnsi="Times New Roman"/>
                <w:b/>
                <w:sz w:val="18"/>
                <w:szCs w:val="18"/>
              </w:rPr>
              <w:t>Виды мониторинга окружающей среды на ОРО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4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Наименование, место нахождение эксплуатирующей организации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эксплуатирующей организации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364FF2" w:rsidRPr="00565D87" w:rsidTr="00156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FF2" w:rsidRPr="00565D87" w:rsidRDefault="00B12262" w:rsidP="00565D87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2262">
              <w:rPr>
                <w:rFonts w:ascii="Times New Roman" w:hAnsi="Times New Roman"/>
                <w:b/>
                <w:sz w:val="20"/>
                <w:szCs w:val="20"/>
              </w:rPr>
              <w:t>Республика Хакасия</w:t>
            </w:r>
          </w:p>
        </w:tc>
      </w:tr>
      <w:tr w:rsidR="00401307" w:rsidRPr="00ED5523" w:rsidTr="00156421">
        <w:tblPrEx>
          <w:tblCellMar>
            <w:left w:w="108" w:type="dxa"/>
            <w:right w:w="108" w:type="dxa"/>
          </w:tblCellMar>
        </w:tblPrEx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D5523" w:rsidRPr="00ED5523" w:rsidRDefault="00ED5523" w:rsidP="00ED552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19-00022-Х-00609-270715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D5523" w:rsidRPr="00ED5523" w:rsidRDefault="00ED5523" w:rsidP="00ED552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5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Хвостохранилище</w:t>
            </w:r>
            <w:proofErr w:type="spellEnd"/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D5523" w:rsidRPr="00ED5523" w:rsidRDefault="00ED5523" w:rsidP="00ED552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D5523" w:rsidRPr="00ED5523" w:rsidRDefault="00ED5523" w:rsidP="00ED552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 (хвосты) флотации молибденово-медных руд 22212311 39 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5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 (осадки) механической очистки технической воды аппаратов мокрой очистки отходящих газов производства ферросплавов 35132211334,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5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 сортировки отвальных шлаков ферросплавного производства 35138111214,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Золошлаковая</w:t>
            </w:r>
            <w:proofErr w:type="spellEnd"/>
            <w:r w:rsidRPr="00ED5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смесь от сжигания углей малоопасная 61140001204,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Золошлаковая</w:t>
            </w:r>
            <w:proofErr w:type="spellEnd"/>
            <w:r w:rsidRPr="00ED5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смесь от сжигания углей практически неопасная 61140002205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D5523" w:rsidRPr="00ED5523" w:rsidRDefault="00ED5523" w:rsidP="00ED552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D5523" w:rsidRPr="00ED5523" w:rsidRDefault="00ED5523" w:rsidP="00ED552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D5523" w:rsidRPr="00ED5523" w:rsidRDefault="00ED5523" w:rsidP="00ED552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95409000000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D5523" w:rsidRPr="00ED5523" w:rsidRDefault="00ED5523" w:rsidP="00ED552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Сорск</w:t>
            </w:r>
          </w:p>
        </w:tc>
        <w:tc>
          <w:tcPr>
            <w:tcW w:w="4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D5523" w:rsidRPr="00ED5523" w:rsidRDefault="00ED5523" w:rsidP="00ED552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"СФМЗ", 655111, Республика Хакасия, г. Сорск, </w:t>
            </w:r>
            <w:proofErr w:type="spellStart"/>
            <w:r w:rsidRPr="00ED5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промплощадка</w:t>
            </w:r>
            <w:proofErr w:type="spellEnd"/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D5523" w:rsidRPr="00ED5523" w:rsidRDefault="00ED5523" w:rsidP="00ED552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1910009769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D5523" w:rsidRPr="00ED5523" w:rsidRDefault="00ED5523" w:rsidP="00ED552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93990000 (131586000)</w:t>
            </w:r>
          </w:p>
        </w:tc>
        <w:tc>
          <w:tcPr>
            <w:tcW w:w="37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D5523" w:rsidRPr="00ED5523" w:rsidRDefault="00ED5523" w:rsidP="00ED552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</w:t>
            </w:r>
          </w:p>
        </w:tc>
      </w:tr>
    </w:tbl>
    <w:p w:rsidR="00ED5523" w:rsidRDefault="00ED5523" w:rsidP="00565D87"/>
    <w:p w:rsidR="00867F17" w:rsidRPr="00565D87" w:rsidRDefault="00867F17" w:rsidP="00867F17">
      <w:pPr>
        <w:pageBreakBefore/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Cs w:val="24"/>
          <w:lang w:eastAsia="ru-RU"/>
        </w:rPr>
        <w:t>2</w:t>
      </w:r>
    </w:p>
    <w:p w:rsidR="00867F17" w:rsidRPr="00565D87" w:rsidRDefault="00867F17" w:rsidP="00867F17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proofErr w:type="gramStart"/>
      <w:r w:rsidRPr="00565D87">
        <w:rPr>
          <w:rFonts w:ascii="Times New Roman" w:hAnsi="Times New Roman"/>
          <w:szCs w:val="24"/>
          <w:lang w:eastAsia="ru-RU"/>
        </w:rPr>
        <w:t>к</w:t>
      </w:r>
      <w:proofErr w:type="gramEnd"/>
      <w:r w:rsidRPr="00565D87">
        <w:rPr>
          <w:rFonts w:ascii="Times New Roman" w:hAnsi="Times New Roman"/>
          <w:szCs w:val="24"/>
          <w:lang w:eastAsia="ru-RU"/>
        </w:rPr>
        <w:t xml:space="preserve"> приказу Федеральной службы по надзору в сфере природопользования</w:t>
      </w:r>
    </w:p>
    <w:p w:rsidR="00867F17" w:rsidRPr="00867F17" w:rsidRDefault="00867F17" w:rsidP="00867F17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proofErr w:type="gramStart"/>
      <w:r w:rsidRPr="00565D87">
        <w:rPr>
          <w:rFonts w:ascii="Times New Roman" w:hAnsi="Times New Roman"/>
          <w:szCs w:val="24"/>
          <w:lang w:eastAsia="ru-RU"/>
        </w:rPr>
        <w:t>от</w:t>
      </w:r>
      <w:proofErr w:type="gramEnd"/>
      <w:r w:rsidRPr="00565D87">
        <w:rPr>
          <w:rFonts w:ascii="Times New Roman" w:hAnsi="Times New Roman"/>
          <w:szCs w:val="24"/>
          <w:lang w:eastAsia="ru-RU"/>
        </w:rPr>
        <w:t xml:space="preserve"> </w:t>
      </w:r>
      <w:r w:rsidRPr="00867F17">
        <w:rPr>
          <w:rFonts w:ascii="Times New Roman" w:hAnsi="Times New Roman"/>
          <w:szCs w:val="24"/>
          <w:lang w:eastAsia="ru-RU"/>
        </w:rPr>
        <w:t>09</w:t>
      </w:r>
      <w:r w:rsidRPr="00565D87">
        <w:rPr>
          <w:rFonts w:ascii="Times New Roman" w:hAnsi="Times New Roman"/>
          <w:szCs w:val="24"/>
          <w:lang w:eastAsia="ru-RU"/>
        </w:rPr>
        <w:t>.</w:t>
      </w:r>
      <w:r w:rsidRPr="00867F17">
        <w:rPr>
          <w:rFonts w:ascii="Times New Roman" w:hAnsi="Times New Roman"/>
          <w:szCs w:val="24"/>
          <w:lang w:eastAsia="ru-RU"/>
        </w:rPr>
        <w:t>11</w:t>
      </w:r>
      <w:r w:rsidRPr="00565D87">
        <w:rPr>
          <w:rFonts w:ascii="Times New Roman" w:hAnsi="Times New Roman"/>
          <w:szCs w:val="24"/>
          <w:lang w:eastAsia="ru-RU"/>
        </w:rPr>
        <w:t xml:space="preserve">.2021 № </w:t>
      </w:r>
      <w:r w:rsidRPr="00867F17">
        <w:rPr>
          <w:rFonts w:ascii="Times New Roman" w:hAnsi="Times New Roman"/>
          <w:szCs w:val="24"/>
          <w:lang w:eastAsia="ru-RU"/>
        </w:rPr>
        <w:t>788</w:t>
      </w:r>
    </w:p>
    <w:p w:rsidR="00867F17" w:rsidRPr="00565D87" w:rsidRDefault="00867F17" w:rsidP="00867F17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7"/>
        <w:gridCol w:w="1416"/>
        <w:gridCol w:w="1134"/>
        <w:gridCol w:w="2836"/>
        <w:gridCol w:w="1134"/>
        <w:gridCol w:w="1276"/>
        <w:gridCol w:w="994"/>
        <w:gridCol w:w="1134"/>
        <w:gridCol w:w="1559"/>
        <w:gridCol w:w="1260"/>
        <w:gridCol w:w="16"/>
        <w:gridCol w:w="1416"/>
        <w:gridCol w:w="1088"/>
      </w:tblGrid>
      <w:tr w:rsidR="00D0131C" w:rsidRPr="00565D87" w:rsidTr="00486B9B">
        <w:trPr>
          <w:trHeight w:val="20"/>
        </w:trPr>
        <w:tc>
          <w:tcPr>
            <w:tcW w:w="3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7F17" w:rsidRPr="00565D87" w:rsidRDefault="00867F17" w:rsidP="00462FF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7F17" w:rsidRPr="00565D87" w:rsidRDefault="00867F17" w:rsidP="00462FF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7F17" w:rsidRPr="00565D87" w:rsidRDefault="00867F17" w:rsidP="00462FF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87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7F17" w:rsidRPr="00565D87" w:rsidRDefault="00867F17" w:rsidP="00462FF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7F17" w:rsidRPr="00565D87" w:rsidRDefault="00867F17" w:rsidP="00462FF9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</w:tcPr>
          <w:p w:rsidR="00867F17" w:rsidRPr="00565D87" w:rsidRDefault="00867F17" w:rsidP="00462FF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4FF2">
              <w:rPr>
                <w:rFonts w:ascii="Times New Roman" w:hAnsi="Times New Roman"/>
                <w:b/>
                <w:sz w:val="18"/>
                <w:szCs w:val="18"/>
              </w:rPr>
              <w:t>Виды мониторинга окружающей среды на ОРО</w:t>
            </w: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7F17" w:rsidRPr="00565D87" w:rsidRDefault="00867F17" w:rsidP="00462FF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7F17" w:rsidRPr="00565D87" w:rsidRDefault="00867F17" w:rsidP="00462FF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4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7F17" w:rsidRPr="00565D87" w:rsidRDefault="00867F17" w:rsidP="00462FF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Наименование, место нахождение эксплуатирующей организации</w:t>
            </w:r>
          </w:p>
        </w:tc>
        <w:tc>
          <w:tcPr>
            <w:tcW w:w="39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7F17" w:rsidRPr="00565D87" w:rsidRDefault="00867F17" w:rsidP="00462FF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эксплуатирующей организации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7F17" w:rsidRPr="00565D87" w:rsidRDefault="00867F17" w:rsidP="00462FF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7F17" w:rsidRPr="00565D87" w:rsidRDefault="00867F17" w:rsidP="00462FF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867F17" w:rsidRPr="00565D87" w:rsidTr="00486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7F17" w:rsidRPr="00565D87" w:rsidRDefault="001F301A" w:rsidP="00462FF9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01A">
              <w:rPr>
                <w:rFonts w:ascii="Times New Roman" w:hAnsi="Times New Roman"/>
                <w:b/>
                <w:sz w:val="20"/>
                <w:szCs w:val="20"/>
              </w:rPr>
              <w:t>Кемеровская область</w:t>
            </w:r>
          </w:p>
        </w:tc>
      </w:tr>
      <w:tr w:rsidR="00D0131C" w:rsidRPr="001F301A" w:rsidTr="00486B9B">
        <w:tblPrEx>
          <w:tblCellMar>
            <w:left w:w="108" w:type="dxa"/>
            <w:right w:w="108" w:type="dxa"/>
          </w:tblCellMar>
        </w:tblPrEx>
        <w:tc>
          <w:tcPr>
            <w:tcW w:w="301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1F301A" w:rsidRPr="001F301A" w:rsidRDefault="001F301A" w:rsidP="001F301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42-00413-Х-00550-171117</w:t>
            </w:r>
          </w:p>
        </w:tc>
        <w:tc>
          <w:tcPr>
            <w:tcW w:w="436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1F301A" w:rsidRPr="001F301A" w:rsidRDefault="001F301A" w:rsidP="001F301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отвал № 1</w:t>
            </w:r>
          </w:p>
        </w:tc>
        <w:tc>
          <w:tcPr>
            <w:tcW w:w="349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1F301A" w:rsidRPr="001F301A" w:rsidRDefault="001F301A" w:rsidP="001F301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</w:t>
            </w:r>
          </w:p>
        </w:tc>
        <w:tc>
          <w:tcPr>
            <w:tcW w:w="873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1F301A" w:rsidRPr="001F301A" w:rsidRDefault="001F301A" w:rsidP="0079079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вскрышные</w:t>
            </w:r>
            <w:proofErr w:type="gramEnd"/>
            <w:r w:rsidRPr="001F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породы в смеси практически неопасные 20019099395</w:t>
            </w:r>
          </w:p>
        </w:tc>
        <w:tc>
          <w:tcPr>
            <w:tcW w:w="349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1F301A" w:rsidRPr="001F301A" w:rsidRDefault="00D0131C" w:rsidP="001F301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393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1F301A" w:rsidRPr="001F301A" w:rsidRDefault="001F301A" w:rsidP="001F301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01, 02, 03, 04, 05</w:t>
            </w:r>
          </w:p>
        </w:tc>
        <w:tc>
          <w:tcPr>
            <w:tcW w:w="306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1F301A" w:rsidRPr="001F301A" w:rsidRDefault="001F301A" w:rsidP="001F301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32213848000, 32201802000</w:t>
            </w:r>
          </w:p>
        </w:tc>
        <w:tc>
          <w:tcPr>
            <w:tcW w:w="349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1F301A" w:rsidRPr="001F301A" w:rsidRDefault="001F301A" w:rsidP="001F301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1F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Новороссийка</w:t>
            </w:r>
            <w:proofErr w:type="spellEnd"/>
          </w:p>
        </w:tc>
        <w:tc>
          <w:tcPr>
            <w:tcW w:w="480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D0131C" w:rsidRDefault="001F301A" w:rsidP="001F301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разрез «</w:t>
            </w:r>
            <w:proofErr w:type="spellStart"/>
            <w:r w:rsidRPr="001F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Шестаки</w:t>
            </w:r>
            <w:proofErr w:type="spellEnd"/>
            <w:r w:rsidRPr="001F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1F301A" w:rsidRPr="001F301A" w:rsidRDefault="001F301A" w:rsidP="001F301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652780, Кемеровская область, г. Гурьевск </w:t>
            </w:r>
          </w:p>
        </w:tc>
        <w:tc>
          <w:tcPr>
            <w:tcW w:w="388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1F301A" w:rsidRPr="001F301A" w:rsidRDefault="001F301A" w:rsidP="001F301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4232000174</w:t>
            </w:r>
          </w:p>
        </w:tc>
        <w:tc>
          <w:tcPr>
            <w:tcW w:w="441" w:type="pct"/>
            <w:gridSpan w:val="2"/>
            <w:tcBorders>
              <w:top w:val="single" w:sz="12" w:space="0" w:color="auto"/>
            </w:tcBorders>
            <w:shd w:val="clear" w:color="auto" w:fill="auto"/>
            <w:hideMark/>
          </w:tcPr>
          <w:p w:rsidR="001F301A" w:rsidRPr="001F301A" w:rsidRDefault="001F301A" w:rsidP="001F301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481346800 (1040934600)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1F301A" w:rsidRPr="001F301A" w:rsidRDefault="001F301A" w:rsidP="001F301A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5552700</w:t>
            </w:r>
          </w:p>
        </w:tc>
      </w:tr>
    </w:tbl>
    <w:p w:rsidR="001F301A" w:rsidRDefault="001F301A" w:rsidP="00565D87"/>
    <w:p w:rsidR="00486B9B" w:rsidRPr="00565D87" w:rsidRDefault="00486B9B" w:rsidP="00486B9B">
      <w:pPr>
        <w:pageBreakBefore/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Cs w:val="24"/>
          <w:lang w:eastAsia="ru-RU"/>
        </w:rPr>
        <w:t>3</w:t>
      </w:r>
    </w:p>
    <w:p w:rsidR="00486B9B" w:rsidRPr="00565D87" w:rsidRDefault="00486B9B" w:rsidP="00486B9B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proofErr w:type="gramStart"/>
      <w:r w:rsidRPr="00565D87">
        <w:rPr>
          <w:rFonts w:ascii="Times New Roman" w:hAnsi="Times New Roman"/>
          <w:szCs w:val="24"/>
          <w:lang w:eastAsia="ru-RU"/>
        </w:rPr>
        <w:t>к</w:t>
      </w:r>
      <w:proofErr w:type="gramEnd"/>
      <w:r w:rsidRPr="00565D87">
        <w:rPr>
          <w:rFonts w:ascii="Times New Roman" w:hAnsi="Times New Roman"/>
          <w:szCs w:val="24"/>
          <w:lang w:eastAsia="ru-RU"/>
        </w:rPr>
        <w:t xml:space="preserve"> приказу Федеральной службы по надзору в сфере природопользования</w:t>
      </w:r>
    </w:p>
    <w:p w:rsidR="00486B9B" w:rsidRPr="00867F17" w:rsidRDefault="00486B9B" w:rsidP="00486B9B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proofErr w:type="gramStart"/>
      <w:r w:rsidRPr="00565D87">
        <w:rPr>
          <w:rFonts w:ascii="Times New Roman" w:hAnsi="Times New Roman"/>
          <w:szCs w:val="24"/>
          <w:lang w:eastAsia="ru-RU"/>
        </w:rPr>
        <w:t>от</w:t>
      </w:r>
      <w:proofErr w:type="gramEnd"/>
      <w:r w:rsidRPr="00565D87">
        <w:rPr>
          <w:rFonts w:ascii="Times New Roman" w:hAnsi="Times New Roman"/>
          <w:szCs w:val="24"/>
          <w:lang w:eastAsia="ru-RU"/>
        </w:rPr>
        <w:t xml:space="preserve"> </w:t>
      </w:r>
      <w:r w:rsidRPr="00867F17">
        <w:rPr>
          <w:rFonts w:ascii="Times New Roman" w:hAnsi="Times New Roman"/>
          <w:szCs w:val="24"/>
          <w:lang w:eastAsia="ru-RU"/>
        </w:rPr>
        <w:t>09</w:t>
      </w:r>
      <w:r w:rsidRPr="00565D87">
        <w:rPr>
          <w:rFonts w:ascii="Times New Roman" w:hAnsi="Times New Roman"/>
          <w:szCs w:val="24"/>
          <w:lang w:eastAsia="ru-RU"/>
        </w:rPr>
        <w:t>.</w:t>
      </w:r>
      <w:r w:rsidRPr="00867F17">
        <w:rPr>
          <w:rFonts w:ascii="Times New Roman" w:hAnsi="Times New Roman"/>
          <w:szCs w:val="24"/>
          <w:lang w:eastAsia="ru-RU"/>
        </w:rPr>
        <w:t>11</w:t>
      </w:r>
      <w:r w:rsidRPr="00565D87">
        <w:rPr>
          <w:rFonts w:ascii="Times New Roman" w:hAnsi="Times New Roman"/>
          <w:szCs w:val="24"/>
          <w:lang w:eastAsia="ru-RU"/>
        </w:rPr>
        <w:t xml:space="preserve">.2021 № </w:t>
      </w:r>
      <w:r w:rsidRPr="00867F17">
        <w:rPr>
          <w:rFonts w:ascii="Times New Roman" w:hAnsi="Times New Roman"/>
          <w:szCs w:val="24"/>
          <w:lang w:eastAsia="ru-RU"/>
        </w:rPr>
        <w:t>788</w:t>
      </w:r>
    </w:p>
    <w:p w:rsidR="00486B9B" w:rsidRPr="00565D87" w:rsidRDefault="00486B9B" w:rsidP="00486B9B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5"/>
        <w:gridCol w:w="1562"/>
        <w:gridCol w:w="848"/>
        <w:gridCol w:w="3261"/>
        <w:gridCol w:w="1134"/>
        <w:gridCol w:w="1276"/>
        <w:gridCol w:w="867"/>
        <w:gridCol w:w="1134"/>
        <w:gridCol w:w="1699"/>
        <w:gridCol w:w="1276"/>
        <w:gridCol w:w="1276"/>
        <w:gridCol w:w="1072"/>
      </w:tblGrid>
      <w:tr w:rsidR="000C63B3" w:rsidRPr="00565D87" w:rsidTr="00BA2F5D">
        <w:trPr>
          <w:trHeight w:val="20"/>
        </w:trPr>
        <w:tc>
          <w:tcPr>
            <w:tcW w:w="2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6B9B" w:rsidRPr="00565D87" w:rsidRDefault="00486B9B" w:rsidP="00462FF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4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6B9B" w:rsidRPr="00565D87" w:rsidRDefault="00486B9B" w:rsidP="00462FF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2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6B9B" w:rsidRPr="00565D87" w:rsidRDefault="00486B9B" w:rsidP="00462FF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00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6B9B" w:rsidRPr="00565D87" w:rsidRDefault="00486B9B" w:rsidP="00462FF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6B9B" w:rsidRPr="00565D87" w:rsidRDefault="00486B9B" w:rsidP="00462FF9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</w:tcPr>
          <w:p w:rsidR="00486B9B" w:rsidRPr="00565D87" w:rsidRDefault="00486B9B" w:rsidP="00462FF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4FF2">
              <w:rPr>
                <w:rFonts w:ascii="Times New Roman" w:hAnsi="Times New Roman"/>
                <w:b/>
                <w:sz w:val="18"/>
                <w:szCs w:val="18"/>
              </w:rPr>
              <w:t>Виды мониторинга окружающей среды на ОРО</w:t>
            </w:r>
          </w:p>
        </w:tc>
        <w:tc>
          <w:tcPr>
            <w:tcW w:w="2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6B9B" w:rsidRPr="00565D87" w:rsidRDefault="00486B9B" w:rsidP="00462FF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6B9B" w:rsidRPr="00565D87" w:rsidRDefault="00486B9B" w:rsidP="00462FF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52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6B9B" w:rsidRPr="00565D87" w:rsidRDefault="00486B9B" w:rsidP="00462FF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Наименование, место нахождение эксплуатирующей организации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6B9B" w:rsidRPr="00565D87" w:rsidRDefault="00486B9B" w:rsidP="00462FF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эксплуатирующей организации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6B9B" w:rsidRPr="00565D87" w:rsidRDefault="00486B9B" w:rsidP="00462FF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6B9B" w:rsidRPr="00565D87" w:rsidRDefault="00486B9B" w:rsidP="00462FF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486B9B" w:rsidRPr="00565D87" w:rsidTr="00486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6B9B" w:rsidRPr="00565D87" w:rsidRDefault="00486B9B" w:rsidP="00462FF9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6B9B">
              <w:rPr>
                <w:rFonts w:ascii="Times New Roman" w:hAnsi="Times New Roman"/>
                <w:b/>
                <w:sz w:val="20"/>
                <w:szCs w:val="20"/>
              </w:rPr>
              <w:t>Новосибирская область</w:t>
            </w:r>
          </w:p>
        </w:tc>
      </w:tr>
      <w:tr w:rsidR="00486B9B" w:rsidRPr="00486B9B" w:rsidTr="00BA2F5D">
        <w:tblPrEx>
          <w:tblCellMar>
            <w:left w:w="108" w:type="dxa"/>
            <w:right w:w="108" w:type="dxa"/>
          </w:tblCellMar>
        </w:tblPrEx>
        <w:tc>
          <w:tcPr>
            <w:tcW w:w="257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486B9B" w:rsidRPr="00486B9B" w:rsidRDefault="00486B9B" w:rsidP="00486B9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54-00028-З-00066-270218</w:t>
            </w:r>
          </w:p>
        </w:tc>
        <w:tc>
          <w:tcPr>
            <w:tcW w:w="481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486B9B" w:rsidRPr="00486B9B" w:rsidRDefault="00486B9B" w:rsidP="00486B9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Полигон ТБО в городе Карасуке Карасукского района Новосибирской области </w:t>
            </w:r>
          </w:p>
        </w:tc>
        <w:tc>
          <w:tcPr>
            <w:tcW w:w="261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486B9B" w:rsidRPr="00486B9B" w:rsidRDefault="00486B9B" w:rsidP="000C63B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Захоронение </w:t>
            </w:r>
          </w:p>
        </w:tc>
        <w:tc>
          <w:tcPr>
            <w:tcW w:w="1004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486B9B" w:rsidRPr="00486B9B" w:rsidRDefault="000C63B3" w:rsidP="00486B9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ботва от корнеплодов, другие подобные растительные остатки при выращивании овощей 11121001235; ботва от корнеплодов, другие подобные растительные остатки при выращивании овощей, загрязненные землей 11121002235; обрезки и обрывки хлопчатобумажных тканей 30311101235; обрезки и обрывки льняных тканей 30311102235; обрезки и обрывки шерстяных тканей 30311103235; обрезки и обрывки полушерстяных тканей 30311104235; обрезки и обрывки шелковых тканей 30311105235; обрезки и обрывки смешанных тканей 30311109235; горбыль из натуральной чистой древесины 30522001215; рейка из натуральной чистой древесины 30522002215; щепа натуральной чистой древесины 30522003215; </w:t>
            </w:r>
            <w:proofErr w:type="spellStart"/>
            <w:r w:rsidRPr="000C6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обрезь</w:t>
            </w:r>
            <w:proofErr w:type="spellEnd"/>
            <w:r w:rsidRPr="000C6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натуральной чистой древесины 305220004215; опилки и стружка натуральной чистой древесины несортированные 30529111205; прочие несортированные древесные </w:t>
            </w:r>
            <w:r w:rsidRPr="000C6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отходы из натуральной чистой древесины 30529191205; овощи необработанные, некондиционные 40110512205; фрукты и овощи переработанные, утратившие потребительские свойства 40111011395; отходы одежды и прочих текстильных изделий для сферы обслуживания из натуральных и смешанных волокон незагрязненные 40211211625; спецодежда из натуральных волокон, утратившая потребительские свойства, пригодная для изготовления ветоши 40213101625; тара деревянная, утратившая потребительские свойства, незагрязненная 40414000515; отходы упаковочных материалов из бумаги и картона, загрязненные пищевыми продуктами 40591301605; упаковка из бумаги и/или картона, загрязненная растительными и животными жирами 40591311605; лом и отходы изделий из полиэтилена незагрязненные (кроме тары) 43411003515; лом и отходы изделий из полипропилена незагрязненные (кроме тары) 43412003515; лом изделий из стекла 45110100205; </w:t>
            </w:r>
            <w:proofErr w:type="spellStart"/>
            <w:r w:rsidRPr="000C6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золошлаковая</w:t>
            </w:r>
            <w:proofErr w:type="spellEnd"/>
            <w:r w:rsidRPr="000C6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смесь от сжигания углей практически неопасная 61140002205; зола от сжигания древесного топлива практически неопасная 61190002405; отходы из жилищ несортированные (исключая крупногабаритные) 73111001724; отходы из жилищ крупногабаритные 73111002215; мусор и смет уличный 73120001724; мусор и смет от уборки парков, скверов, зон </w:t>
            </w:r>
            <w:r w:rsidRPr="000C6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массового отдыха, набережных, пляжей и других объектов благоустройства 73120002725; отходы от уборки территорий кладбищ, колумбариев 73120003725; отходы снеготаяния с применением </w:t>
            </w:r>
            <w:proofErr w:type="spellStart"/>
            <w:r w:rsidRPr="000C6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снегоплавильного</w:t>
            </w:r>
            <w:proofErr w:type="spellEnd"/>
            <w:r w:rsidRPr="000C6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оборудования, обезвоженные методом естественной сушки, практически неопасные 73121162205; растительные отходы при уходе за газонами, цветниками 73130001205; растительные отходы при уходе за древесно-кустарниковыми посадками 73130002205; мусор от офисных и бытовых помещений организаций несортированный (исключая крупногабаритный) 73310001724; мусор от офисных и бытовых помещений организаций практически неопасный 73310002725; смет с территории железнодорожных вокзалов и перронов практически неопасный 73413111715; смет с территории предприятия практически неопасный 73339002715; отходы (мусор) от уборки пассажирских терминалов вокзалов, портов, аэропортов 73412111724; отходы (мусор) от уборки пассажирских вагонов железнодорожного подвижного состава, не содержащие пищевые отходы 73420121725; отходы (мусор) от уборки территории и помещений объектов оптово-розничной торговли продовольственными товарами 73510001725; отходы (мусор) от уборки территории и помещений объектов оптово-розничной торговли промышленными товарами 73510002725; пищевые отходы </w:t>
            </w:r>
            <w:r w:rsidRPr="000C6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кухонь и организаций общественного питания несортированные 73610001305; непищевые отходы (мусор) кухонь и организаций общественного питания практически неопасные 73610011725; отходы объектов оптово-розничной торговли цветами и растениями, содержащие преимущественно растительные остатки 73515111715; отходы (мусор) от уборки помещений гостиниц, отелей и других мест временного проживания несортированные 73621001724; мусор от уборки помещений гостиниц, отелей и других мест временного проживания, содержащий преимущественно материалы, отходы которых отнесены к V классу опасности 73621111725; отходы (мусор) от уборки территории и помещений учебно-воспитательных учреждений 73710001725; отходы (мусор) от уборки территории и помещений культурно-спортивных учреждений и зрелищных мероприятий 73710002725; отходы (мусор) от уборки помещений парикмахерских, салонов красоты, соляриев 73941001724; отходы волос 73941311295; отходы от уборки бань, саун 73942101725; остатки сортировки твердых коммунальных отходов при совместном сборе 74111911724; остатки сортировки твердых коммунальных отходов при совместном сборе практически неопасные 74111912725; грунт, образовавшийся при проведении землеройных работ, не загрязненный опасными </w:t>
            </w:r>
            <w:r w:rsidRPr="000C6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веществами 81110001495; отходы грунта при проведении открытых земляных работ практически неопасные 81111112495; лом кирпичной кладки от сноса и разборки зданий 81220101205; отходы песка незагрязненные 81910001495; отходы строительного щебня незагрязненные 81910003215; отходы цемента в кусковой форме 82210101215; лом бетонных </w:t>
            </w:r>
            <w:proofErr w:type="spellStart"/>
            <w:r w:rsidRPr="000C6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</w:t>
            </w:r>
            <w:proofErr w:type="spellEnd"/>
            <w:r w:rsidRPr="000C6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отходы бетона в кусковой форме 82220101215; лом железобетонных изделий, отходы железобетона в кусковой форме 82230101215; лом строительного кирпича незагрязненный 82310101215; лом черепицы, керамики незагрязненный 82320101215; лом дорожного полотна автомобильных дорог (кроме отходов битума и асфальтовых покрытий) 83010001715</w:t>
            </w:r>
          </w:p>
        </w:tc>
        <w:tc>
          <w:tcPr>
            <w:tcW w:w="349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486B9B" w:rsidRPr="00486B9B" w:rsidRDefault="00486B9B" w:rsidP="00486B9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Имеется</w:t>
            </w:r>
          </w:p>
        </w:tc>
        <w:tc>
          <w:tcPr>
            <w:tcW w:w="393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486B9B" w:rsidRPr="00486B9B" w:rsidRDefault="00486B9B" w:rsidP="00486B9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01, 03, 04</w:t>
            </w:r>
          </w:p>
        </w:tc>
        <w:tc>
          <w:tcPr>
            <w:tcW w:w="267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486B9B" w:rsidRPr="00486B9B" w:rsidRDefault="00486B9B" w:rsidP="00486B9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50217501000</w:t>
            </w:r>
          </w:p>
        </w:tc>
        <w:tc>
          <w:tcPr>
            <w:tcW w:w="349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486B9B" w:rsidRPr="00486B9B" w:rsidRDefault="00486B9B" w:rsidP="00486B9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Карасук</w:t>
            </w:r>
          </w:p>
        </w:tc>
        <w:tc>
          <w:tcPr>
            <w:tcW w:w="523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486B9B" w:rsidRDefault="00486B9B" w:rsidP="00486B9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"Экология-Новосибирск"</w:t>
            </w:r>
          </w:p>
          <w:p w:rsidR="00486B9B" w:rsidRPr="00486B9B" w:rsidRDefault="00486B9B" w:rsidP="00486B9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630007, Новосибирская обл., г. Новосибирск, ул. Советская, д. 5, </w:t>
            </w:r>
            <w:proofErr w:type="spellStart"/>
            <w:r w:rsidRPr="0048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48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7, офис В-701</w:t>
            </w:r>
          </w:p>
        </w:tc>
        <w:tc>
          <w:tcPr>
            <w:tcW w:w="393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486B9B" w:rsidRPr="00486B9B" w:rsidRDefault="00486B9B" w:rsidP="00486B9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5410772955</w:t>
            </w:r>
          </w:p>
        </w:tc>
        <w:tc>
          <w:tcPr>
            <w:tcW w:w="393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486B9B" w:rsidRPr="00486B9B" w:rsidRDefault="00486B9B" w:rsidP="00486B9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252700 (144039)</w:t>
            </w:r>
          </w:p>
        </w:tc>
        <w:tc>
          <w:tcPr>
            <w:tcW w:w="330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486B9B" w:rsidRPr="00486B9B" w:rsidRDefault="00486B9B" w:rsidP="00486B9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81000</w:t>
            </w:r>
          </w:p>
        </w:tc>
      </w:tr>
    </w:tbl>
    <w:p w:rsidR="00486B9B" w:rsidRPr="00565D87" w:rsidRDefault="00486B9B" w:rsidP="00565D87">
      <w:bookmarkStart w:id="0" w:name="_GoBack"/>
      <w:bookmarkEnd w:id="0"/>
    </w:p>
    <w:sectPr w:rsidR="00486B9B" w:rsidRPr="00565D87" w:rsidSect="00364FF2">
      <w:footerReference w:type="default" r:id="rId6"/>
      <w:pgSz w:w="16838" w:h="11906" w:orient="landscape" w:code="9"/>
      <w:pgMar w:top="567" w:right="284" w:bottom="567" w:left="28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3D0" w:rsidRDefault="006723D0" w:rsidP="000D5E96">
      <w:pPr>
        <w:spacing w:before="0" w:line="240" w:lineRule="auto"/>
      </w:pPr>
      <w:r>
        <w:separator/>
      </w:r>
    </w:p>
  </w:endnote>
  <w:endnote w:type="continuationSeparator" w:id="0">
    <w:p w:rsidR="006723D0" w:rsidRDefault="006723D0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173636"/>
      <w:docPartObj>
        <w:docPartGallery w:val="Page Numbers (Bottom of Page)"/>
        <w:docPartUnique/>
      </w:docPartObj>
    </w:sdtPr>
    <w:sdtEndPr/>
    <w:sdtContent>
      <w:p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BA2F5D">
          <w:rPr>
            <w:noProof/>
            <w:sz w:val="20"/>
            <w:szCs w:val="20"/>
          </w:rPr>
          <w:t>7</w:t>
        </w:r>
        <w:r w:rsidRPr="000D5E96">
          <w:rPr>
            <w:sz w:val="20"/>
            <w:szCs w:val="20"/>
          </w:rPr>
          <w:fldChar w:fldCharType="end"/>
        </w:r>
      </w:p>
    </w:sdtContent>
  </w:sdt>
  <w:p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3D0" w:rsidRDefault="006723D0" w:rsidP="000D5E96">
      <w:pPr>
        <w:spacing w:before="0" w:line="240" w:lineRule="auto"/>
      </w:pPr>
      <w:r>
        <w:separator/>
      </w:r>
    </w:p>
  </w:footnote>
  <w:footnote w:type="continuationSeparator" w:id="0">
    <w:p w:rsidR="006723D0" w:rsidRDefault="006723D0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6A"/>
    <w:rsid w:val="0003269E"/>
    <w:rsid w:val="0007598E"/>
    <w:rsid w:val="000C63B3"/>
    <w:rsid w:val="000D24E6"/>
    <w:rsid w:val="000D5E96"/>
    <w:rsid w:val="00156421"/>
    <w:rsid w:val="001B50EF"/>
    <w:rsid w:val="001F301A"/>
    <w:rsid w:val="002F2623"/>
    <w:rsid w:val="003012D7"/>
    <w:rsid w:val="0031586E"/>
    <w:rsid w:val="00352C9C"/>
    <w:rsid w:val="00360507"/>
    <w:rsid w:val="00364FF2"/>
    <w:rsid w:val="00401307"/>
    <w:rsid w:val="00486B9B"/>
    <w:rsid w:val="00523539"/>
    <w:rsid w:val="00565D87"/>
    <w:rsid w:val="005903CF"/>
    <w:rsid w:val="005F060B"/>
    <w:rsid w:val="00634E6A"/>
    <w:rsid w:val="00641F6F"/>
    <w:rsid w:val="00656DF8"/>
    <w:rsid w:val="006723D0"/>
    <w:rsid w:val="00790799"/>
    <w:rsid w:val="007D6666"/>
    <w:rsid w:val="008372DE"/>
    <w:rsid w:val="00867F17"/>
    <w:rsid w:val="009B3053"/>
    <w:rsid w:val="009D47F1"/>
    <w:rsid w:val="009E71F2"/>
    <w:rsid w:val="00B12262"/>
    <w:rsid w:val="00B81BCE"/>
    <w:rsid w:val="00BA2F5D"/>
    <w:rsid w:val="00BD4E84"/>
    <w:rsid w:val="00BD4EAD"/>
    <w:rsid w:val="00C52D90"/>
    <w:rsid w:val="00C9370A"/>
    <w:rsid w:val="00D0131C"/>
    <w:rsid w:val="00D3103C"/>
    <w:rsid w:val="00D43526"/>
    <w:rsid w:val="00E1077A"/>
    <w:rsid w:val="00E66359"/>
    <w:rsid w:val="00ED5523"/>
    <w:rsid w:val="00F32B64"/>
    <w:rsid w:val="00F455EA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Irina</cp:lastModifiedBy>
  <cp:revision>19</cp:revision>
  <dcterms:created xsi:type="dcterms:W3CDTF">2019-08-02T10:53:00Z</dcterms:created>
  <dcterms:modified xsi:type="dcterms:W3CDTF">2022-03-29T14:03:00Z</dcterms:modified>
</cp:coreProperties>
</file>